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378"/>
        <w:gridCol w:w="9389"/>
        <w:gridCol w:w="2684"/>
        <w:gridCol w:w="2683"/>
        <w:gridCol w:w="137"/>
        <w:gridCol w:w="558"/>
      </w:tblGrid>
      <w:tr w:rsidR="00FC337E" w:rsidRPr="00A07AE1" w:rsidTr="00A07AE1">
        <w:trPr>
          <w:gridBefore w:val="1"/>
          <w:wBefore w:w="318" w:type="dxa"/>
          <w:trHeight w:val="1224"/>
        </w:trPr>
        <w:tc>
          <w:tcPr>
            <w:tcW w:w="15271" w:type="dxa"/>
            <w:gridSpan w:val="5"/>
          </w:tcPr>
          <w:tbl>
            <w:tblPr>
              <w:tblStyle w:val="a3"/>
              <w:tblW w:w="14735" w:type="dxa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26"/>
              <w:gridCol w:w="222"/>
            </w:tblGrid>
            <w:tr w:rsidR="007D543A" w:rsidRPr="00A07AE1" w:rsidTr="007D543A">
              <w:trPr>
                <w:trHeight w:val="247"/>
              </w:trPr>
              <w:tc>
                <w:tcPr>
                  <w:tcW w:w="4856" w:type="dxa"/>
                  <w:shd w:val="clear" w:color="auto" w:fill="auto"/>
                </w:tcPr>
                <w:p w:rsidR="007D543A" w:rsidRPr="00A07AE1" w:rsidRDefault="00A07AE1" w:rsidP="007D543A">
                  <w:pPr>
                    <w:keepNext/>
                    <w:keepLines/>
                    <w:tabs>
                      <w:tab w:val="left" w:pos="993"/>
                      <w:tab w:val="left" w:pos="6521"/>
                    </w:tabs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07AE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16B523AA" wp14:editId="3E25E6DB">
                        <wp:extent cx="9277350" cy="6521807"/>
                        <wp:effectExtent l="0" t="0" r="0" b="0"/>
                        <wp:docPr id="1" name="Рисунок 1" descr="C:\Users\Анна\YandexDisk\Документы\Дом творчества\Скан_201802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нна\YandexDisk\Документы\Дом творчества\Скан_2018022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7350" cy="6521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79" w:type="dxa"/>
                </w:tcPr>
                <w:p w:rsidR="007D543A" w:rsidRPr="00A07AE1" w:rsidRDefault="007D543A" w:rsidP="007D543A">
                  <w:pPr>
                    <w:keepNext/>
                    <w:keepLines/>
                    <w:tabs>
                      <w:tab w:val="left" w:pos="993"/>
                      <w:tab w:val="left" w:pos="6521"/>
                    </w:tabs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07AE1" w:rsidRPr="00A07AE1" w:rsidRDefault="00A07AE1" w:rsidP="007D543A">
            <w:pPr>
              <w:keepNext/>
              <w:keepLines/>
              <w:tabs>
                <w:tab w:val="left" w:pos="0"/>
                <w:tab w:val="left" w:pos="993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37E" w:rsidRPr="00A07AE1" w:rsidRDefault="00FC337E" w:rsidP="00A07AE1">
            <w:pPr>
              <w:keepNext/>
              <w:keepLines/>
              <w:tabs>
                <w:tab w:val="left" w:pos="0"/>
                <w:tab w:val="left" w:pos="993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8" w:type="dxa"/>
          </w:tcPr>
          <w:p w:rsidR="00C24F97" w:rsidRPr="00A07AE1" w:rsidRDefault="00C24F97" w:rsidP="007D543A">
            <w:pPr>
              <w:spacing w:after="10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FC337E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AE1">
              <w:rPr>
                <w:rFonts w:ascii="Times New Roman" w:hAnsi="Times New Roman"/>
                <w:b/>
                <w:sz w:val="28"/>
              </w:rPr>
              <w:lastRenderedPageBreak/>
              <w:t xml:space="preserve"> </w:t>
            </w:r>
            <w:r w:rsidR="006841B1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 в целях выявления видов деятельности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и должностей, наиболее подверженным таким рискам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7D543A" w:rsidRDefault="007D543A" w:rsidP="009C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марта</w:t>
            </w:r>
            <w:r w:rsidR="006841B1">
              <w:rPr>
                <w:rFonts w:ascii="Times New Roman" w:hAnsi="Times New Roman"/>
                <w:sz w:val="24"/>
                <w:szCs w:val="24"/>
              </w:rPr>
              <w:t xml:space="preserve"> 2018 г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82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68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9389" w:type="dxa"/>
            <w:vAlign w:val="center"/>
          </w:tcPr>
          <w:p w:rsidR="006841B1" w:rsidRDefault="006841B1" w:rsidP="0068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минимизации или устранению коррупционных рисков</w:t>
            </w:r>
            <w:r w:rsidR="005F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7D543A" w:rsidRDefault="006841B1" w:rsidP="009C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D543A">
              <w:rPr>
                <w:rFonts w:ascii="Times New Roman" w:hAnsi="Times New Roman"/>
                <w:sz w:val="24"/>
                <w:szCs w:val="24"/>
              </w:rPr>
              <w:t>1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г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5F6934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5F6934" w:rsidRDefault="008E4912" w:rsidP="0068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9389" w:type="dxa"/>
            <w:vAlign w:val="center"/>
          </w:tcPr>
          <w:p w:rsidR="005F6934" w:rsidRDefault="005F6934" w:rsidP="0068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карты коррупционных рисков Учреждения </w:t>
            </w:r>
          </w:p>
        </w:tc>
        <w:tc>
          <w:tcPr>
            <w:tcW w:w="2684" w:type="dxa"/>
            <w:vAlign w:val="center"/>
          </w:tcPr>
          <w:p w:rsidR="005F6934" w:rsidRPr="007D543A" w:rsidRDefault="005F6934" w:rsidP="007D5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D543A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>
              <w:rPr>
                <w:rFonts w:ascii="Times New Roman" w:hAnsi="Times New Roman"/>
                <w:sz w:val="24"/>
                <w:szCs w:val="24"/>
              </w:rPr>
              <w:t>2018 г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5F6934" w:rsidRDefault="005F6934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8E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E491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73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684" w:type="dxa"/>
            <w:vAlign w:val="center"/>
          </w:tcPr>
          <w:p w:rsidR="006841B1" w:rsidRDefault="00FB3687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8E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E491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эффективности принимаемых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мер по противодействию коррупции</w:t>
            </w:r>
          </w:p>
        </w:tc>
        <w:tc>
          <w:tcPr>
            <w:tcW w:w="2684" w:type="dxa"/>
            <w:vAlign w:val="center"/>
          </w:tcPr>
          <w:p w:rsidR="006841B1" w:rsidRDefault="006841B1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</w:t>
            </w:r>
            <w:r w:rsidR="00E24BD6">
              <w:rPr>
                <w:rFonts w:ascii="Times New Roman" w:hAnsi="Times New Roman"/>
                <w:sz w:val="24"/>
                <w:szCs w:val="24"/>
              </w:rPr>
              <w:t>годно</w:t>
            </w:r>
          </w:p>
        </w:tc>
        <w:tc>
          <w:tcPr>
            <w:tcW w:w="2683" w:type="dxa"/>
            <w:vAlign w:val="center"/>
          </w:tcPr>
          <w:p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8E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8E49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предложений, подлежащих учету при подготовке плана противодействия коррупции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на очередной календарный год</w:t>
            </w:r>
          </w:p>
        </w:tc>
        <w:tc>
          <w:tcPr>
            <w:tcW w:w="2684" w:type="dxa"/>
            <w:vAlign w:val="center"/>
          </w:tcPr>
          <w:p w:rsidR="006841B1" w:rsidRDefault="00E24BD6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83" w:type="dxa"/>
            <w:vAlign w:val="center"/>
          </w:tcPr>
          <w:p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8E4912" w:rsidP="008E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  <w:r w:rsidR="006841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C55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84" w:type="dxa"/>
            <w:vAlign w:val="center"/>
          </w:tcPr>
          <w:p w:rsidR="006841B1" w:rsidRDefault="006841B1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к 1 декабря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  <w:trHeight w:val="468"/>
        </w:trPr>
        <w:tc>
          <w:tcPr>
            <w:tcW w:w="696" w:type="dxa"/>
            <w:gridSpan w:val="2"/>
            <w:vAlign w:val="center"/>
          </w:tcPr>
          <w:p w:rsidR="006841B1" w:rsidRPr="00AF1498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83232E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  <w:trHeight w:val="1493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противодействия коррупции 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чреждении, с одновременным разъяснением положений указанных документов</w:t>
            </w:r>
            <w:r w:rsidR="00554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DE4F7B" w:rsidRPr="002F32FE" w:rsidRDefault="00E24BD6" w:rsidP="00DE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  10 </w:t>
            </w:r>
            <w:r w:rsidR="006841B1">
              <w:rPr>
                <w:rFonts w:ascii="Times New Roman" w:hAnsi="Times New Roman"/>
                <w:sz w:val="24"/>
                <w:szCs w:val="24"/>
              </w:rPr>
              <w:t xml:space="preserve"> дней со дня принятия акта в сфере противодействия коррупции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E24BD6" w:rsidP="004D6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E4F7B" w:rsidRPr="00DE4F7B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DE4F7B" w:rsidRPr="00DE4F7B" w:rsidRDefault="00DE4F7B" w:rsidP="00DE4F7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4F7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9389" w:type="dxa"/>
            <w:vAlign w:val="center"/>
          </w:tcPr>
          <w:p w:rsidR="00DE4F7B" w:rsidRPr="00DE4F7B" w:rsidRDefault="00DE4F7B" w:rsidP="00DE4F7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4F7B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DE4F7B" w:rsidRPr="00DE4F7B" w:rsidRDefault="00DE4F7B" w:rsidP="00DE4F7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4F7B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683" w:type="dxa"/>
            <w:vAlign w:val="center"/>
          </w:tcPr>
          <w:p w:rsidR="00DE4F7B" w:rsidRPr="00DE4F7B" w:rsidRDefault="00DE4F7B" w:rsidP="00DE4F7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4F7B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E24B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  <w:r w:rsidR="00E24B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чреждения с памятками по противодействию коррупции, разъяснение требований о предотвращении или об урегулировании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proofErr w:type="gramEnd"/>
          </w:p>
        </w:tc>
        <w:tc>
          <w:tcPr>
            <w:tcW w:w="2684" w:type="dxa"/>
            <w:vAlign w:val="center"/>
          </w:tcPr>
          <w:p w:rsidR="006841B1" w:rsidRPr="002F32FE" w:rsidRDefault="00E24BD6" w:rsidP="00E24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275BCD">
              <w:rPr>
                <w:rFonts w:ascii="Times New Roman" w:hAnsi="Times New Roman"/>
                <w:sz w:val="24"/>
                <w:szCs w:val="24"/>
              </w:rPr>
              <w:t>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27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24B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B1720">
            <w:pPr>
              <w:rPr>
                <w:rFonts w:ascii="Times New Roman" w:hAnsi="Times New Roman"/>
                <w:sz w:val="24"/>
                <w:szCs w:val="24"/>
              </w:rPr>
            </w:pPr>
            <w:r w:rsidRPr="0075529A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рекомендаций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BCD">
              <w:rPr>
                <w:rFonts w:ascii="Times New Roman" w:hAnsi="Times New Roman"/>
                <w:sz w:val="24"/>
                <w:szCs w:val="24"/>
              </w:rPr>
              <w:t xml:space="preserve">по вопросам профилактики коррупции в </w:t>
            </w:r>
            <w:r w:rsidR="006B1720">
              <w:rPr>
                <w:rFonts w:ascii="Times New Roman" w:hAnsi="Times New Roman"/>
                <w:sz w:val="24"/>
                <w:szCs w:val="24"/>
              </w:rPr>
              <w:t>У</w:t>
            </w:r>
            <w:r w:rsidR="00275BCD">
              <w:rPr>
                <w:rFonts w:ascii="Times New Roman" w:hAnsi="Times New Roman"/>
                <w:sz w:val="24"/>
                <w:szCs w:val="24"/>
              </w:rPr>
              <w:t>чреждении</w:t>
            </w:r>
          </w:p>
        </w:tc>
        <w:tc>
          <w:tcPr>
            <w:tcW w:w="2684" w:type="dxa"/>
            <w:vAlign w:val="center"/>
          </w:tcPr>
          <w:p w:rsidR="006841B1" w:rsidRDefault="006841B1" w:rsidP="0027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275BCD">
              <w:rPr>
                <w:rFonts w:ascii="Times New Roman" w:hAnsi="Times New Roman"/>
                <w:sz w:val="24"/>
                <w:szCs w:val="24"/>
              </w:rPr>
              <w:t xml:space="preserve"> по мере обновления информационных материалов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362C0A" w:rsidP="00C2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3F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24B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6B1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лиц, ответственных за работу по профилактике коррупционных правонарушений в </w:t>
            </w:r>
            <w:r w:rsidR="006B172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3F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24B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184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27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по мере </w:t>
            </w:r>
            <w:r w:rsidR="00275BCD">
              <w:rPr>
                <w:rFonts w:ascii="Times New Roman" w:hAnsi="Times New Roman"/>
                <w:sz w:val="24"/>
                <w:szCs w:val="24"/>
              </w:rPr>
              <w:t>выявления фактов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21057C" w:rsidRDefault="006841B1" w:rsidP="003F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sz w:val="24"/>
                <w:szCs w:val="24"/>
              </w:rPr>
              <w:t>2.</w:t>
            </w:r>
            <w:r w:rsidR="00E24BD6">
              <w:rPr>
                <w:rFonts w:ascii="Times New Roman" w:hAnsi="Times New Roman"/>
                <w:sz w:val="24"/>
                <w:szCs w:val="24"/>
              </w:rPr>
              <w:t>6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D15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84" w:type="dxa"/>
            <w:vAlign w:val="center"/>
          </w:tcPr>
          <w:p w:rsidR="006841B1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733BD3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733BD3" w:rsidRDefault="006841B1" w:rsidP="00497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взаимодействию с гражданами в целях предупреждения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  <w:trHeight w:val="401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554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</w:t>
            </w:r>
            <w:r w:rsidR="006C668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телефона «горячей линии» по вопросам противодействия коррупции</w:t>
            </w:r>
            <w:r w:rsidR="006B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BB296A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  <w:trHeight w:val="401"/>
        </w:trPr>
        <w:tc>
          <w:tcPr>
            <w:tcW w:w="696" w:type="dxa"/>
            <w:gridSpan w:val="2"/>
            <w:vAlign w:val="center"/>
          </w:tcPr>
          <w:p w:rsidR="00BB296A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389" w:type="dxa"/>
            <w:vAlign w:val="center"/>
          </w:tcPr>
          <w:p w:rsidR="00BB296A" w:rsidRDefault="00BB296A" w:rsidP="00554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</w:t>
            </w:r>
            <w:r w:rsidR="006B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BB296A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BB296A" w:rsidRDefault="00BB296A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  <w:p w:rsidR="00E24BD6" w:rsidRDefault="00E24BD6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ведение сайта учреждения</w:t>
            </w:r>
          </w:p>
        </w:tc>
      </w:tr>
      <w:tr w:rsidR="00BC7588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  <w:trHeight w:val="401"/>
        </w:trPr>
        <w:tc>
          <w:tcPr>
            <w:tcW w:w="696" w:type="dxa"/>
            <w:gridSpan w:val="2"/>
            <w:vAlign w:val="center"/>
          </w:tcPr>
          <w:p w:rsidR="00BC7588" w:rsidRDefault="00BC7588" w:rsidP="00BB2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BB29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BC7588" w:rsidRDefault="00BC7588" w:rsidP="00BB1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</w:t>
            </w:r>
            <w:r w:rsidR="007F70F5">
              <w:rPr>
                <w:rFonts w:ascii="Times New Roman" w:hAnsi="Times New Roman"/>
                <w:sz w:val="24"/>
                <w:szCs w:val="24"/>
              </w:rPr>
              <w:t xml:space="preserve"> на базе Учреждения</w:t>
            </w:r>
          </w:p>
        </w:tc>
        <w:tc>
          <w:tcPr>
            <w:tcW w:w="2684" w:type="dxa"/>
            <w:vAlign w:val="center"/>
          </w:tcPr>
          <w:p w:rsidR="00BC7588" w:rsidRPr="00E24BD6" w:rsidRDefault="00BC7588" w:rsidP="009C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 2018 г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BC7588" w:rsidRDefault="00BC7588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9F32E9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  <w:trHeight w:val="401"/>
        </w:trPr>
        <w:tc>
          <w:tcPr>
            <w:tcW w:w="696" w:type="dxa"/>
            <w:gridSpan w:val="2"/>
            <w:vAlign w:val="center"/>
          </w:tcPr>
          <w:p w:rsidR="009F32E9" w:rsidRDefault="00BC7588" w:rsidP="00BB2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BB29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9F32E9" w:rsidRDefault="009F32E9" w:rsidP="00E24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информационных стендах и т.д.)</w:t>
            </w:r>
          </w:p>
        </w:tc>
        <w:tc>
          <w:tcPr>
            <w:tcW w:w="2684" w:type="dxa"/>
            <w:vAlign w:val="center"/>
          </w:tcPr>
          <w:p w:rsidR="009F32E9" w:rsidRDefault="00BC7588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9F32E9" w:rsidRDefault="00BC7588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9F32E9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9F32E9" w:rsidRDefault="00BC7588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9389" w:type="dxa"/>
            <w:vAlign w:val="center"/>
          </w:tcPr>
          <w:p w:rsidR="009F32E9" w:rsidRDefault="00BC7588" w:rsidP="00184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 информационных материалов Учреждения среди граждан</w:t>
            </w:r>
            <w:r w:rsidR="00BB296A">
              <w:rPr>
                <w:rFonts w:ascii="Times New Roman" w:hAnsi="Times New Roman"/>
                <w:sz w:val="24"/>
                <w:szCs w:val="24"/>
              </w:rPr>
              <w:t>, в том числе их  размещение на информационных стендах Учреждения</w:t>
            </w:r>
          </w:p>
        </w:tc>
        <w:tc>
          <w:tcPr>
            <w:tcW w:w="2684" w:type="dxa"/>
            <w:vAlign w:val="center"/>
          </w:tcPr>
          <w:p w:rsidR="009F32E9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информации</w:t>
            </w:r>
          </w:p>
        </w:tc>
        <w:tc>
          <w:tcPr>
            <w:tcW w:w="2683" w:type="dxa"/>
            <w:vAlign w:val="center"/>
          </w:tcPr>
          <w:p w:rsidR="009F32E9" w:rsidRDefault="00BB296A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3F5AD0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3F5AD0" w:rsidRDefault="003F5AD0" w:rsidP="00FF2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F2C0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3F5AD0" w:rsidRDefault="003F5AD0" w:rsidP="003F5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перечне и содержании услуг, оказываемых на бесплатной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684" w:type="dxa"/>
            <w:vAlign w:val="center"/>
          </w:tcPr>
          <w:p w:rsidR="003F5AD0" w:rsidRDefault="009F32E9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по мере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обновления информации</w:t>
            </w:r>
          </w:p>
        </w:tc>
        <w:tc>
          <w:tcPr>
            <w:tcW w:w="2683" w:type="dxa"/>
            <w:vAlign w:val="center"/>
          </w:tcPr>
          <w:p w:rsidR="003F5AD0" w:rsidRDefault="009F32E9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Лицо, ответственное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2F32FE" w:rsidRDefault="006841B1" w:rsidP="00FF2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FF2C0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184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коррупционных проявлений, проводимый посредством анализа обращений и жалоб граждан и организаций, поступивших в адрес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BB2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BB296A">
              <w:rPr>
                <w:rFonts w:ascii="Times New Roman" w:hAnsi="Times New Roman"/>
                <w:sz w:val="24"/>
                <w:szCs w:val="24"/>
              </w:rPr>
              <w:t>поступления обращений граждан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Pr="00641BB9" w:rsidRDefault="006841B1" w:rsidP="00A00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641BB9" w:rsidRDefault="006841B1" w:rsidP="00713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389" w:type="dxa"/>
            <w:vAlign w:val="center"/>
          </w:tcPr>
          <w:p w:rsidR="006841B1" w:rsidRDefault="006841B1" w:rsidP="00C7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заключенных контрактов по закупке товаров, работ услуг для обеспечения нужд </w:t>
            </w:r>
            <w:r w:rsidR="00C72AD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 w:val="restart"/>
            <w:vAlign w:val="center"/>
          </w:tcPr>
          <w:p w:rsidR="006841B1" w:rsidRDefault="00E24BD6" w:rsidP="004A4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B1" w:rsidRPr="002F32FE" w:rsidTr="00A07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5" w:type="dxa"/>
        </w:trPr>
        <w:tc>
          <w:tcPr>
            <w:tcW w:w="696" w:type="dxa"/>
            <w:gridSpan w:val="2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47F" w:rsidRDefault="007C547F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E24BD6" w:rsidRDefault="00E24BD6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9C6F42" w:rsidRDefault="009C6F42">
      <w:r>
        <w:rPr>
          <w:rFonts w:ascii="Times New Roman" w:hAnsi="Times New Roman"/>
          <w:sz w:val="30"/>
          <w:szCs w:val="30"/>
          <w:vertAlign w:val="superscript"/>
          <w:lang w:val="en-US"/>
        </w:rPr>
        <w:t>________________</w:t>
      </w:r>
    </w:p>
    <w:p w:rsidR="009C6F42" w:rsidRPr="009C6F42" w:rsidRDefault="009C6F42" w:rsidP="009C6F42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C6F42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9C6F42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 w:rsidRPr="009C6F42">
        <w:rPr>
          <w:rFonts w:ascii="Times New Roman" w:hAnsi="Times New Roman"/>
          <w:sz w:val="24"/>
          <w:szCs w:val="24"/>
        </w:rPr>
        <w:t>–</w:t>
      </w:r>
      <w:r w:rsidRPr="009C6F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9C6F42">
        <w:rPr>
          <w:rFonts w:ascii="Times New Roman" w:hAnsi="Times New Roman"/>
          <w:sz w:val="24"/>
          <w:szCs w:val="24"/>
        </w:rPr>
        <w:t>екомендуемые сроки</w:t>
      </w:r>
      <w:r>
        <w:rPr>
          <w:rFonts w:ascii="Times New Roman" w:hAnsi="Times New Roman"/>
          <w:sz w:val="24"/>
          <w:szCs w:val="24"/>
        </w:rPr>
        <w:t>.</w:t>
      </w:r>
    </w:p>
    <w:p w:rsidR="006B1720" w:rsidRPr="00B94A9B" w:rsidRDefault="006B1720" w:rsidP="00B94A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FB4">
        <w:rPr>
          <w:rFonts w:ascii="Times New Roman" w:hAnsi="Times New Roman"/>
          <w:sz w:val="30"/>
          <w:szCs w:val="30"/>
          <w:vertAlign w:val="superscript"/>
        </w:rPr>
        <w:t>1</w:t>
      </w:r>
      <w:r w:rsidRPr="000618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="00B70FB4">
        <w:rPr>
          <w:rFonts w:ascii="Times New Roman" w:hAnsi="Times New Roman"/>
          <w:sz w:val="30"/>
          <w:szCs w:val="30"/>
        </w:rPr>
        <w:t xml:space="preserve"> </w:t>
      </w:r>
      <w:r w:rsidR="0018173B" w:rsidRPr="00B94A9B">
        <w:rPr>
          <w:rFonts w:ascii="Times New Roman" w:hAnsi="Times New Roman"/>
          <w:sz w:val="24"/>
          <w:szCs w:val="24"/>
        </w:rPr>
        <w:t>К</w:t>
      </w:r>
      <w:r w:rsidR="00B70FB4" w:rsidRPr="00B94A9B">
        <w:rPr>
          <w:rFonts w:ascii="Times New Roman" w:hAnsi="Times New Roman"/>
          <w:sz w:val="24"/>
          <w:szCs w:val="24"/>
        </w:rPr>
        <w:t xml:space="preserve"> локальным актам по вопросам противодействия коррупции, в соответствии с перечнем, относятся: Положение об антикоррупционной политике, Кодекс этики и служебного поведения, Положение о порядке уведомления работодателя о конфликте интересов, Положение о порядке уведомления работодателя о фактах обращения в целях склонения к совершению коррупционных правонарушений, Положение об оценке коррупционных рисков. </w:t>
      </w:r>
    </w:p>
    <w:p w:rsidR="006B1720" w:rsidRPr="00B94A9B" w:rsidRDefault="0018173B" w:rsidP="00B94A9B">
      <w:pPr>
        <w:pStyle w:val="a4"/>
        <w:spacing w:line="360" w:lineRule="auto"/>
        <w:jc w:val="both"/>
        <w:rPr>
          <w:sz w:val="24"/>
          <w:szCs w:val="24"/>
        </w:rPr>
      </w:pPr>
      <w:r w:rsidRPr="00B94A9B">
        <w:rPr>
          <w:sz w:val="24"/>
          <w:szCs w:val="24"/>
          <w:vertAlign w:val="superscript"/>
        </w:rPr>
        <w:t>2</w:t>
      </w:r>
      <w:r w:rsidR="000618A3" w:rsidRPr="00B94A9B">
        <w:rPr>
          <w:sz w:val="24"/>
          <w:szCs w:val="24"/>
          <w:vertAlign w:val="superscript"/>
        </w:rPr>
        <w:t xml:space="preserve"> </w:t>
      </w:r>
      <w:r w:rsidRPr="00B94A9B">
        <w:rPr>
          <w:sz w:val="24"/>
          <w:szCs w:val="24"/>
        </w:rPr>
        <w:t>–</w:t>
      </w:r>
      <w:r w:rsidR="006B1720" w:rsidRPr="00B94A9B">
        <w:rPr>
          <w:sz w:val="24"/>
          <w:szCs w:val="24"/>
        </w:rPr>
        <w:t xml:space="preserve"> </w:t>
      </w:r>
      <w:r w:rsidRPr="00B94A9B">
        <w:rPr>
          <w:sz w:val="24"/>
          <w:szCs w:val="24"/>
        </w:rPr>
        <w:t>В</w:t>
      </w:r>
      <w:r w:rsidR="003E22CB" w:rsidRPr="00B94A9B">
        <w:rPr>
          <w:sz w:val="24"/>
          <w:szCs w:val="24"/>
        </w:rPr>
        <w:t xml:space="preserve"> трудовых договорах и должностных инструкциях необходимо отразить обязанность работника соблюдать антикоррупционное законодательство, в </w:t>
      </w:r>
      <w:r w:rsidRPr="00B94A9B">
        <w:rPr>
          <w:sz w:val="24"/>
          <w:szCs w:val="24"/>
        </w:rPr>
        <w:t xml:space="preserve">частности: руководствоваться требованиями и неукоснительно соблюдать принципы антикоррупционной политики Учреждения; воздерживаться от совершения и (или) участия в совершении коррупционных правонарушений, в том числе в интересах или от имени Учреждения; </w:t>
      </w:r>
      <w:r w:rsidR="003E22CB" w:rsidRPr="00B94A9B">
        <w:rPr>
          <w:sz w:val="24"/>
          <w:szCs w:val="24"/>
        </w:rPr>
        <w:t>сообщать работодателю о возникновении личной заинтересованности, которая приводит или может привести к конфликту интересов</w:t>
      </w:r>
      <w:r w:rsidR="000618A3" w:rsidRPr="00B94A9B">
        <w:rPr>
          <w:sz w:val="24"/>
          <w:szCs w:val="24"/>
        </w:rPr>
        <w:t>,</w:t>
      </w:r>
      <w:r w:rsidR="003E22CB" w:rsidRPr="00B94A9B">
        <w:rPr>
          <w:sz w:val="24"/>
          <w:szCs w:val="24"/>
        </w:rPr>
        <w:t xml:space="preserve"> о фактах обращения в целях склонения к совершению коррупционных правонарушений</w:t>
      </w:r>
      <w:r w:rsidR="000618A3" w:rsidRPr="00B94A9B">
        <w:rPr>
          <w:sz w:val="24"/>
          <w:szCs w:val="24"/>
        </w:rPr>
        <w:t xml:space="preserve"> и т.д.</w:t>
      </w:r>
    </w:p>
    <w:p w:rsidR="006B1720" w:rsidRPr="00B94A9B" w:rsidRDefault="0018173B" w:rsidP="00B94A9B">
      <w:pPr>
        <w:pStyle w:val="a4"/>
        <w:spacing w:line="360" w:lineRule="auto"/>
        <w:jc w:val="both"/>
        <w:rPr>
          <w:sz w:val="24"/>
          <w:szCs w:val="24"/>
        </w:rPr>
      </w:pPr>
      <w:r w:rsidRPr="00B94A9B">
        <w:rPr>
          <w:sz w:val="24"/>
          <w:szCs w:val="24"/>
          <w:vertAlign w:val="superscript"/>
        </w:rPr>
        <w:t>3</w:t>
      </w:r>
      <w:r w:rsidR="006B1720" w:rsidRPr="00B94A9B">
        <w:rPr>
          <w:sz w:val="24"/>
          <w:szCs w:val="24"/>
        </w:rPr>
        <w:t>–</w:t>
      </w:r>
      <w:r w:rsidR="000618A3" w:rsidRPr="00B94A9B">
        <w:rPr>
          <w:sz w:val="24"/>
          <w:szCs w:val="24"/>
        </w:rPr>
        <w:t xml:space="preserve"> </w:t>
      </w:r>
      <w:r w:rsidR="000618A3" w:rsidRPr="00B94A9B">
        <w:rPr>
          <w:rFonts w:cs="Times New Roman"/>
          <w:sz w:val="24"/>
          <w:szCs w:val="24"/>
        </w:rPr>
        <w:t xml:space="preserve">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 </w:t>
      </w:r>
      <w:r w:rsidR="000618A3" w:rsidRPr="00B94A9B">
        <w:rPr>
          <w:sz w:val="24"/>
          <w:szCs w:val="24"/>
        </w:rPr>
        <w:t>Сотрудничество с правоохранительными органами осуществляется в форме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6B1720" w:rsidRPr="00B94A9B" w:rsidRDefault="006B1720" w:rsidP="00B94A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4A9B">
        <w:rPr>
          <w:rFonts w:ascii="Times New Roman" w:hAnsi="Times New Roman"/>
          <w:sz w:val="24"/>
          <w:szCs w:val="24"/>
          <w:vertAlign w:val="superscript"/>
        </w:rPr>
        <w:t>4</w:t>
      </w:r>
      <w:r w:rsidRPr="00B94A9B">
        <w:rPr>
          <w:rFonts w:ascii="Times New Roman" w:hAnsi="Times New Roman"/>
          <w:sz w:val="24"/>
          <w:szCs w:val="24"/>
        </w:rPr>
        <w:t xml:space="preserve"> – </w:t>
      </w:r>
      <w:r w:rsidR="00B94A9B">
        <w:rPr>
          <w:rFonts w:ascii="Times New Roman" w:hAnsi="Times New Roman"/>
          <w:sz w:val="24"/>
          <w:szCs w:val="24"/>
        </w:rPr>
        <w:t>Оценка коррупционных рисков осуществляется на основании Положения об оценке коррупционных рисков, которое устанавливает порядок процедуры и форму карты коррупционных рисков.</w:t>
      </w:r>
    </w:p>
    <w:p w:rsidR="006B1720" w:rsidRPr="00B94A9B" w:rsidRDefault="006B1720" w:rsidP="00B94A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4A9B">
        <w:rPr>
          <w:rFonts w:ascii="Times New Roman" w:hAnsi="Times New Roman"/>
          <w:sz w:val="24"/>
          <w:szCs w:val="24"/>
          <w:vertAlign w:val="superscript"/>
        </w:rPr>
        <w:t>5</w:t>
      </w:r>
      <w:r w:rsidRPr="00B94A9B">
        <w:rPr>
          <w:rFonts w:ascii="Times New Roman" w:hAnsi="Times New Roman"/>
          <w:sz w:val="24"/>
          <w:szCs w:val="24"/>
        </w:rPr>
        <w:t xml:space="preserve"> – </w:t>
      </w:r>
      <w:r w:rsidR="00B94A9B">
        <w:rPr>
          <w:rFonts w:ascii="Times New Roman" w:hAnsi="Times New Roman"/>
          <w:sz w:val="24"/>
          <w:szCs w:val="24"/>
        </w:rPr>
        <w:t xml:space="preserve">Карта коррупционных рисков составляется на основе оценки рисков, включает в себя процессы, при осуществлении которых наиболее высока вероятность проявления коррупции, перечень должностей, замещение которых связано с коррупционными рисками и меры по </w:t>
      </w:r>
      <w:r w:rsidR="00B94A9B">
        <w:rPr>
          <w:rFonts w:ascii="Times New Roman" w:hAnsi="Times New Roman"/>
          <w:sz w:val="24"/>
          <w:szCs w:val="24"/>
        </w:rPr>
        <w:lastRenderedPageBreak/>
        <w:t>минимизации или устранению выявленных рисков. Карту коррупционных рисков следует прикрепить к антикоррупционной политике Учреждения.</w:t>
      </w:r>
    </w:p>
    <w:p w:rsidR="006B1720" w:rsidRPr="00B94A9B" w:rsidRDefault="006B1720" w:rsidP="009C6F42">
      <w:pPr>
        <w:rPr>
          <w:rFonts w:ascii="Times New Roman" w:hAnsi="Times New Roman"/>
          <w:sz w:val="24"/>
          <w:szCs w:val="24"/>
        </w:rPr>
      </w:pPr>
      <w:r w:rsidRPr="00245D16">
        <w:rPr>
          <w:rFonts w:ascii="Times New Roman" w:hAnsi="Times New Roman"/>
          <w:sz w:val="24"/>
          <w:szCs w:val="24"/>
          <w:vertAlign w:val="superscript"/>
        </w:rPr>
        <w:t>6</w:t>
      </w:r>
      <w:r w:rsidRPr="00B94A9B">
        <w:rPr>
          <w:rFonts w:ascii="Times New Roman" w:hAnsi="Times New Roman"/>
          <w:sz w:val="24"/>
          <w:szCs w:val="24"/>
        </w:rPr>
        <w:t xml:space="preserve"> – </w:t>
      </w:r>
      <w:r w:rsidR="00644E6C">
        <w:rPr>
          <w:rFonts w:ascii="Times New Roman" w:hAnsi="Times New Roman"/>
          <w:sz w:val="24"/>
          <w:szCs w:val="24"/>
        </w:rPr>
        <w:t xml:space="preserve">Ознакомление работников с локальными актами осуществляется </w:t>
      </w:r>
      <w:r w:rsidR="00245D16">
        <w:rPr>
          <w:rFonts w:ascii="Times New Roman" w:hAnsi="Times New Roman"/>
          <w:sz w:val="24"/>
          <w:szCs w:val="24"/>
        </w:rPr>
        <w:t>под роспись. Ознакомление проводится путем внесения данных в</w:t>
      </w:r>
      <w:r w:rsidR="00644E6C">
        <w:rPr>
          <w:rFonts w:ascii="Times New Roman" w:hAnsi="Times New Roman"/>
          <w:sz w:val="24"/>
          <w:szCs w:val="24"/>
        </w:rPr>
        <w:t xml:space="preserve"> </w:t>
      </w:r>
      <w:r w:rsidR="00644E6C" w:rsidRPr="00644E6C">
        <w:rPr>
          <w:rFonts w:ascii="Times New Roman" w:eastAsia="Times New Roman" w:hAnsi="Times New Roman" w:cs="Times New Roman"/>
          <w:sz w:val="24"/>
          <w:szCs w:val="24"/>
        </w:rPr>
        <w:t xml:space="preserve">журнал ознакомления работников с локальными </w:t>
      </w:r>
      <w:r w:rsidR="00245D16">
        <w:rPr>
          <w:rFonts w:ascii="Times New Roman" w:eastAsia="Times New Roman" w:hAnsi="Times New Roman" w:cs="Times New Roman"/>
          <w:sz w:val="24"/>
          <w:szCs w:val="24"/>
        </w:rPr>
        <w:t>правовыми актами или прикрепления к документу листа ознакомления.</w:t>
      </w:r>
    </w:p>
    <w:p w:rsidR="006B1720" w:rsidRPr="00B94A9B" w:rsidRDefault="006B1720" w:rsidP="00B94A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238">
        <w:rPr>
          <w:rFonts w:ascii="Times New Roman" w:hAnsi="Times New Roman"/>
          <w:sz w:val="24"/>
          <w:szCs w:val="24"/>
          <w:vertAlign w:val="superscript"/>
        </w:rPr>
        <w:t>7</w:t>
      </w:r>
      <w:r w:rsidRPr="00B94A9B">
        <w:rPr>
          <w:rFonts w:ascii="Times New Roman" w:hAnsi="Times New Roman"/>
          <w:sz w:val="24"/>
          <w:szCs w:val="24"/>
        </w:rPr>
        <w:t xml:space="preserve"> – </w:t>
      </w:r>
      <w:r w:rsidR="001A2238">
        <w:rPr>
          <w:rFonts w:ascii="Times New Roman" w:hAnsi="Times New Roman"/>
          <w:sz w:val="24"/>
          <w:szCs w:val="24"/>
        </w:rPr>
        <w:t>П</w:t>
      </w:r>
      <w:r w:rsidR="004F0AD5">
        <w:rPr>
          <w:rFonts w:ascii="Times New Roman" w:hAnsi="Times New Roman"/>
          <w:sz w:val="24"/>
          <w:szCs w:val="24"/>
        </w:rPr>
        <w:t xml:space="preserve">ри наличии возможности </w:t>
      </w:r>
      <w:r w:rsidR="001A2238">
        <w:rPr>
          <w:rFonts w:ascii="Times New Roman" w:hAnsi="Times New Roman"/>
          <w:sz w:val="24"/>
          <w:szCs w:val="24"/>
        </w:rPr>
        <w:t>для телефона «горячей линии» записать приветственное сообщение. Примерный текст: «</w:t>
      </w:r>
      <w:r w:rsidR="00CC3A76">
        <w:rPr>
          <w:rFonts w:ascii="Times New Roman" w:hAnsi="Times New Roman"/>
          <w:sz w:val="24"/>
          <w:szCs w:val="24"/>
        </w:rPr>
        <w:t>Здравствуйте! Вы позвонили на «горячую линию» по вопросам противодействия коррупции (н</w:t>
      </w:r>
      <w:r w:rsidR="004F0AD5">
        <w:rPr>
          <w:rFonts w:ascii="Times New Roman" w:hAnsi="Times New Roman"/>
          <w:sz w:val="24"/>
          <w:szCs w:val="24"/>
        </w:rPr>
        <w:t>аименование государственного учреждения области). Обращаем Ваше внимание на то, что все разговоры записываются.</w:t>
      </w:r>
      <w:r w:rsidR="0003629B">
        <w:rPr>
          <w:rFonts w:ascii="Times New Roman" w:hAnsi="Times New Roman"/>
          <w:sz w:val="24"/>
          <w:szCs w:val="24"/>
        </w:rPr>
        <w:t xml:space="preserve"> Ожидайте ответа оператора».</w:t>
      </w:r>
    </w:p>
    <w:p w:rsidR="006B1720" w:rsidRPr="00B94A9B" w:rsidRDefault="006B1720" w:rsidP="00993734">
      <w:pPr>
        <w:rPr>
          <w:rFonts w:ascii="Times New Roman" w:hAnsi="Times New Roman"/>
          <w:sz w:val="24"/>
          <w:szCs w:val="24"/>
        </w:rPr>
      </w:pPr>
      <w:proofErr w:type="gramStart"/>
      <w:r w:rsidRPr="00993734">
        <w:rPr>
          <w:rFonts w:ascii="Times New Roman" w:hAnsi="Times New Roman"/>
          <w:sz w:val="24"/>
          <w:szCs w:val="24"/>
          <w:vertAlign w:val="superscript"/>
        </w:rPr>
        <w:t>8</w:t>
      </w:r>
      <w:r w:rsidRPr="00B94A9B">
        <w:rPr>
          <w:rFonts w:ascii="Times New Roman" w:hAnsi="Times New Roman"/>
          <w:sz w:val="24"/>
          <w:szCs w:val="24"/>
        </w:rPr>
        <w:t xml:space="preserve"> – </w:t>
      </w:r>
      <w:r w:rsidR="00993734">
        <w:rPr>
          <w:rFonts w:ascii="Times New Roman" w:hAnsi="Times New Roman"/>
          <w:sz w:val="24"/>
          <w:szCs w:val="24"/>
        </w:rPr>
        <w:t xml:space="preserve"> Наполнение раздела «Противодействие коррупции» осуществляется на основании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>а Минтруда России от 7 октября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 xml:space="preserve"> 2013 N 530н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О требованиях к размещению и наполнению подразделов,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посвященных вопросам противодействия коррупции,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официальных сайтов федеральных государственных органов,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Центрального банка Российской Федерации, Пенсионного фонда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Российской Федерации, Фонда социального страхования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Российской Федерации, Федерального фонда обязательного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медицинского страхования, государственных корпораций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(компаний), иных организаций, созданных на основании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proofErr w:type="gramEnd"/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 xml:space="preserve"> законов, и </w:t>
      </w:r>
      <w:proofErr w:type="gramStart"/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требованиях</w:t>
      </w:r>
      <w:proofErr w:type="gramEnd"/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 xml:space="preserve"> к должностям, замещение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которых влечет за собой размещение сведений о доходах,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34" w:rsidRPr="00993734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="0099373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93734" w:rsidRPr="00B94A9B" w:rsidRDefault="006B1720" w:rsidP="00B94A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734">
        <w:rPr>
          <w:rFonts w:ascii="Times New Roman" w:hAnsi="Times New Roman"/>
          <w:sz w:val="24"/>
          <w:szCs w:val="24"/>
          <w:vertAlign w:val="superscript"/>
        </w:rPr>
        <w:t>9</w:t>
      </w:r>
      <w:r w:rsidRPr="00B94A9B">
        <w:rPr>
          <w:rFonts w:ascii="Times New Roman" w:hAnsi="Times New Roman"/>
          <w:sz w:val="24"/>
          <w:szCs w:val="24"/>
        </w:rPr>
        <w:t xml:space="preserve"> – </w:t>
      </w:r>
      <w:r w:rsidR="00993734">
        <w:rPr>
          <w:rFonts w:ascii="Times New Roman" w:hAnsi="Times New Roman"/>
          <w:sz w:val="24"/>
          <w:szCs w:val="24"/>
        </w:rPr>
        <w:t>Размещение информации в новостных лентах сообществ Учреждения в социальных сетях, в том числе публикация памяток, опросов, новостей, информации о телефоне «горячей линии», публикаций о проведении творческих конкурсов по вопросам противодействия коррупции.</w:t>
      </w:r>
    </w:p>
    <w:p w:rsidR="006B1720" w:rsidRPr="007C547F" w:rsidRDefault="006B1720" w:rsidP="007C547F">
      <w:pPr>
        <w:spacing w:after="0"/>
        <w:rPr>
          <w:rFonts w:ascii="Times New Roman" w:hAnsi="Times New Roman"/>
          <w:sz w:val="30"/>
          <w:szCs w:val="30"/>
        </w:rPr>
      </w:pPr>
    </w:p>
    <w:sectPr w:rsidR="006B1720" w:rsidRPr="007C547F" w:rsidSect="00A07A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6FA"/>
    <w:multiLevelType w:val="hybridMultilevel"/>
    <w:tmpl w:val="63C87E02"/>
    <w:lvl w:ilvl="0" w:tplc="F40E52D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BE97EF4"/>
    <w:multiLevelType w:val="hybridMultilevel"/>
    <w:tmpl w:val="303A94DC"/>
    <w:lvl w:ilvl="0" w:tplc="E5E6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36E8"/>
    <w:multiLevelType w:val="hybridMultilevel"/>
    <w:tmpl w:val="6B3A2B72"/>
    <w:lvl w:ilvl="0" w:tplc="2710017A">
      <w:start w:val="2"/>
      <w:numFmt w:val="decimal"/>
      <w:lvlText w:val="%1"/>
      <w:lvlJc w:val="left"/>
      <w:pPr>
        <w:ind w:left="360" w:hanging="360"/>
      </w:pPr>
      <w:rPr>
        <w:rFonts w:hint="default"/>
        <w:sz w:val="3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D51915"/>
    <w:multiLevelType w:val="hybridMultilevel"/>
    <w:tmpl w:val="7D28CD7A"/>
    <w:lvl w:ilvl="0" w:tplc="94C6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7E"/>
    <w:rsid w:val="0003629B"/>
    <w:rsid w:val="000618A3"/>
    <w:rsid w:val="0007529B"/>
    <w:rsid w:val="000809F4"/>
    <w:rsid w:val="00085904"/>
    <w:rsid w:val="00091E73"/>
    <w:rsid w:val="00103C84"/>
    <w:rsid w:val="0012517C"/>
    <w:rsid w:val="0018173B"/>
    <w:rsid w:val="001846C2"/>
    <w:rsid w:val="001A2238"/>
    <w:rsid w:val="001E63F4"/>
    <w:rsid w:val="0020559D"/>
    <w:rsid w:val="0021057C"/>
    <w:rsid w:val="00245D16"/>
    <w:rsid w:val="00275BCD"/>
    <w:rsid w:val="00285EDC"/>
    <w:rsid w:val="002F32FE"/>
    <w:rsid w:val="00362C0A"/>
    <w:rsid w:val="00376C7B"/>
    <w:rsid w:val="00387225"/>
    <w:rsid w:val="003D31C8"/>
    <w:rsid w:val="003E22CB"/>
    <w:rsid w:val="003F5AD0"/>
    <w:rsid w:val="003F5CA5"/>
    <w:rsid w:val="0045283F"/>
    <w:rsid w:val="004829ED"/>
    <w:rsid w:val="00497375"/>
    <w:rsid w:val="004A4326"/>
    <w:rsid w:val="004D6B39"/>
    <w:rsid w:val="004F0AD5"/>
    <w:rsid w:val="00554A02"/>
    <w:rsid w:val="0058200F"/>
    <w:rsid w:val="00587E2C"/>
    <w:rsid w:val="005A3169"/>
    <w:rsid w:val="005B27AB"/>
    <w:rsid w:val="005E4BDC"/>
    <w:rsid w:val="005F6934"/>
    <w:rsid w:val="00641BB9"/>
    <w:rsid w:val="00644E6C"/>
    <w:rsid w:val="006841B1"/>
    <w:rsid w:val="006B1720"/>
    <w:rsid w:val="006C668E"/>
    <w:rsid w:val="006F4B06"/>
    <w:rsid w:val="00733BD3"/>
    <w:rsid w:val="0075529A"/>
    <w:rsid w:val="00770086"/>
    <w:rsid w:val="007B17C7"/>
    <w:rsid w:val="007C547F"/>
    <w:rsid w:val="007D417A"/>
    <w:rsid w:val="007D543A"/>
    <w:rsid w:val="007D7451"/>
    <w:rsid w:val="007F70F5"/>
    <w:rsid w:val="0083232E"/>
    <w:rsid w:val="008B443C"/>
    <w:rsid w:val="008E4912"/>
    <w:rsid w:val="0093551D"/>
    <w:rsid w:val="00993734"/>
    <w:rsid w:val="009A13BE"/>
    <w:rsid w:val="009C6F42"/>
    <w:rsid w:val="009F32E9"/>
    <w:rsid w:val="00A00A53"/>
    <w:rsid w:val="00A07AE1"/>
    <w:rsid w:val="00A30405"/>
    <w:rsid w:val="00AC185B"/>
    <w:rsid w:val="00AE7764"/>
    <w:rsid w:val="00AF1498"/>
    <w:rsid w:val="00B40D79"/>
    <w:rsid w:val="00B70FB4"/>
    <w:rsid w:val="00B94A9B"/>
    <w:rsid w:val="00BB1A78"/>
    <w:rsid w:val="00BB296A"/>
    <w:rsid w:val="00BC7588"/>
    <w:rsid w:val="00C24F97"/>
    <w:rsid w:val="00C55A5F"/>
    <w:rsid w:val="00C62DB4"/>
    <w:rsid w:val="00C72ADF"/>
    <w:rsid w:val="00C976CC"/>
    <w:rsid w:val="00CC3A76"/>
    <w:rsid w:val="00CD656F"/>
    <w:rsid w:val="00CE7E10"/>
    <w:rsid w:val="00CF633B"/>
    <w:rsid w:val="00D15D38"/>
    <w:rsid w:val="00D46D98"/>
    <w:rsid w:val="00D570D7"/>
    <w:rsid w:val="00D61D43"/>
    <w:rsid w:val="00D62CEB"/>
    <w:rsid w:val="00DD2A38"/>
    <w:rsid w:val="00DE4F7B"/>
    <w:rsid w:val="00E24BD6"/>
    <w:rsid w:val="00EB2211"/>
    <w:rsid w:val="00F61DBF"/>
    <w:rsid w:val="00FB3687"/>
    <w:rsid w:val="00FB7A4B"/>
    <w:rsid w:val="00FC337E"/>
    <w:rsid w:val="00FD40EE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Анна</cp:lastModifiedBy>
  <cp:revision>2</cp:revision>
  <cp:lastPrinted>2017-07-31T07:41:00Z</cp:lastPrinted>
  <dcterms:created xsi:type="dcterms:W3CDTF">2018-02-26T09:12:00Z</dcterms:created>
  <dcterms:modified xsi:type="dcterms:W3CDTF">2018-02-26T09:12:00Z</dcterms:modified>
</cp:coreProperties>
</file>